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D1A36" w14:textId="499B34D2" w:rsidR="00181FEC" w:rsidRPr="00181FEC" w:rsidRDefault="00181FEC" w:rsidP="00181FEC">
      <w:pPr>
        <w:rPr>
          <w:rFonts w:ascii="Times New Roman" w:hAnsi="Times New Roman" w:cs="Times New Roman"/>
          <w:sz w:val="36"/>
          <w:szCs w:val="36"/>
        </w:rPr>
      </w:pPr>
      <w:r w:rsidRPr="00181FEC">
        <w:rPr>
          <w:rFonts w:ascii="Cambria Math" w:hAnsi="Cambria Math" w:cs="Cambria Math"/>
          <w:sz w:val="36"/>
          <w:szCs w:val="36"/>
        </w:rPr>
        <w:t>𝐏𝐚𝐢𝐞𝐦𝐞𝐧𝐭</w:t>
      </w:r>
      <w:r w:rsidRPr="00181FEC">
        <w:rPr>
          <w:rFonts w:ascii="Times New Roman" w:hAnsi="Times New Roman" w:cs="Times New Roman"/>
          <w:sz w:val="36"/>
          <w:szCs w:val="36"/>
        </w:rPr>
        <w:t xml:space="preserve"> </w:t>
      </w:r>
      <w:r w:rsidRPr="00181FEC">
        <w:rPr>
          <w:rFonts w:ascii="Cambria Math" w:hAnsi="Cambria Math" w:cs="Cambria Math"/>
          <w:sz w:val="36"/>
          <w:szCs w:val="36"/>
        </w:rPr>
        <w:t>𝐝𝐞𝐬</w:t>
      </w:r>
      <w:r w:rsidRPr="00181FEC">
        <w:rPr>
          <w:rFonts w:ascii="Times New Roman" w:hAnsi="Times New Roman" w:cs="Times New Roman"/>
          <w:sz w:val="36"/>
          <w:szCs w:val="36"/>
        </w:rPr>
        <w:t xml:space="preserve"> </w:t>
      </w:r>
      <w:r w:rsidRPr="00181FEC">
        <w:rPr>
          <w:rFonts w:ascii="Cambria Math" w:hAnsi="Cambria Math" w:cs="Cambria Math"/>
          <w:sz w:val="36"/>
          <w:szCs w:val="36"/>
        </w:rPr>
        <w:t>𝐓𝐃𝐑𝐋</w:t>
      </w:r>
      <w:r w:rsidRPr="00181FEC">
        <w:rPr>
          <w:rFonts w:ascii="Times New Roman" w:hAnsi="Times New Roman" w:cs="Times New Roman"/>
          <w:sz w:val="36"/>
          <w:szCs w:val="36"/>
        </w:rPr>
        <w:t xml:space="preserve"> : </w:t>
      </w:r>
      <w:r w:rsidRPr="00181FEC">
        <w:rPr>
          <w:rFonts w:ascii="Cambria Math" w:hAnsi="Cambria Math" w:cs="Cambria Math"/>
          <w:sz w:val="36"/>
          <w:szCs w:val="36"/>
        </w:rPr>
        <w:t>𝐪𝐮𝐚𝐧𝐝</w:t>
      </w:r>
      <w:r w:rsidRPr="00181FEC">
        <w:rPr>
          <w:rFonts w:ascii="Times New Roman" w:hAnsi="Times New Roman" w:cs="Times New Roman"/>
          <w:sz w:val="36"/>
          <w:szCs w:val="36"/>
        </w:rPr>
        <w:t xml:space="preserve"> </w:t>
      </w:r>
      <w:r w:rsidRPr="00181FEC">
        <w:rPr>
          <w:rFonts w:ascii="Cambria Math" w:hAnsi="Cambria Math" w:cs="Cambria Math"/>
          <w:sz w:val="36"/>
          <w:szCs w:val="36"/>
        </w:rPr>
        <w:t>𝐥𝐚</w:t>
      </w:r>
      <w:r w:rsidRPr="00181FEC">
        <w:rPr>
          <w:rFonts w:ascii="Times New Roman" w:hAnsi="Times New Roman" w:cs="Times New Roman"/>
          <w:sz w:val="36"/>
          <w:szCs w:val="36"/>
        </w:rPr>
        <w:t xml:space="preserve"> </w:t>
      </w:r>
      <w:r w:rsidRPr="00181FEC">
        <w:rPr>
          <w:rFonts w:ascii="Cambria Math" w:hAnsi="Cambria Math" w:cs="Cambria Math"/>
          <w:sz w:val="36"/>
          <w:szCs w:val="36"/>
        </w:rPr>
        <w:t>𝐜𝐢𝐭𝐨𝐲𝐞𝐧𝐧𝐞𝐭𝐞</w:t>
      </w:r>
      <w:r w:rsidRPr="00181FEC">
        <w:rPr>
          <w:rFonts w:ascii="Times New Roman" w:hAnsi="Times New Roman" w:cs="Times New Roman"/>
          <w:sz w:val="36"/>
          <w:szCs w:val="36"/>
        </w:rPr>
        <w:t xml:space="preserve">́ </w:t>
      </w:r>
      <w:r w:rsidRPr="00181FEC">
        <w:rPr>
          <w:rFonts w:ascii="Cambria Math" w:hAnsi="Cambria Math" w:cs="Cambria Math"/>
          <w:sz w:val="36"/>
          <w:szCs w:val="36"/>
        </w:rPr>
        <w:t>𝐝𝐞𝐯𝐢𝐞𝐧𝐭</w:t>
      </w:r>
      <w:r w:rsidRPr="00181FEC">
        <w:rPr>
          <w:rFonts w:ascii="Times New Roman" w:hAnsi="Times New Roman" w:cs="Times New Roman"/>
          <w:sz w:val="36"/>
          <w:szCs w:val="36"/>
        </w:rPr>
        <w:t xml:space="preserve"> </w:t>
      </w:r>
      <w:r w:rsidRPr="00181FEC">
        <w:rPr>
          <w:rFonts w:ascii="Cambria Math" w:hAnsi="Cambria Math" w:cs="Cambria Math"/>
          <w:sz w:val="36"/>
          <w:szCs w:val="36"/>
        </w:rPr>
        <w:t>𝐮𝐧</w:t>
      </w:r>
      <w:r w:rsidRPr="00181FEC">
        <w:rPr>
          <w:rFonts w:ascii="Times New Roman" w:hAnsi="Times New Roman" w:cs="Times New Roman"/>
          <w:sz w:val="36"/>
          <w:szCs w:val="36"/>
        </w:rPr>
        <w:t xml:space="preserve"> </w:t>
      </w:r>
      <w:r w:rsidRPr="00181FEC">
        <w:rPr>
          <w:rFonts w:ascii="Cambria Math" w:hAnsi="Cambria Math" w:cs="Cambria Math"/>
          <w:sz w:val="36"/>
          <w:szCs w:val="36"/>
        </w:rPr>
        <w:t>𝐚𝐜𝐭𝐞</w:t>
      </w:r>
      <w:r w:rsidRPr="00181FEC">
        <w:rPr>
          <w:rFonts w:ascii="Times New Roman" w:hAnsi="Times New Roman" w:cs="Times New Roman"/>
          <w:sz w:val="36"/>
          <w:szCs w:val="36"/>
        </w:rPr>
        <w:t xml:space="preserve"> </w:t>
      </w:r>
      <w:r w:rsidRPr="00181FEC">
        <w:rPr>
          <w:rFonts w:ascii="Cambria Math" w:hAnsi="Cambria Math" w:cs="Cambria Math"/>
          <w:sz w:val="36"/>
          <w:szCs w:val="36"/>
        </w:rPr>
        <w:t>𝐝𝐞</w:t>
      </w:r>
      <w:r w:rsidRPr="00181FEC">
        <w:rPr>
          <w:rFonts w:ascii="Times New Roman" w:hAnsi="Times New Roman" w:cs="Times New Roman"/>
          <w:sz w:val="36"/>
          <w:szCs w:val="36"/>
        </w:rPr>
        <w:t xml:space="preserve"> </w:t>
      </w:r>
      <w:r w:rsidRPr="00181FEC">
        <w:rPr>
          <w:rFonts w:ascii="Cambria Math" w:hAnsi="Cambria Math" w:cs="Cambria Math"/>
          <w:sz w:val="36"/>
          <w:szCs w:val="36"/>
        </w:rPr>
        <w:t>𝐩𝐚𝐭𝐫𝐢𝐨𝐭𝐢𝐬𝐦𝐞</w:t>
      </w:r>
    </w:p>
    <w:p w14:paraId="70645C9C" w14:textId="18D8A0BD" w:rsidR="00181FEC" w:rsidRPr="00181FEC" w:rsidRDefault="00181FEC" w:rsidP="00181FEC">
      <w:pPr>
        <w:rPr>
          <w:rFonts w:ascii="Times New Roman" w:hAnsi="Times New Roman" w:cs="Times New Roman"/>
          <w:sz w:val="24"/>
          <w:szCs w:val="24"/>
        </w:rPr>
      </w:pPr>
      <w:r w:rsidRPr="00181FEC">
        <w:rPr>
          <w:rFonts w:ascii="Times New Roman" w:hAnsi="Times New Roman" w:cs="Times New Roman"/>
          <w:sz w:val="24"/>
          <w:szCs w:val="24"/>
        </w:rPr>
        <w:t>Dans un contexte où le débat public associe trop souvent le patriotisme à des discours ou à des postures symboliques, le paiement des Taxes de Développement Régional et Local (TDRL) rappelle une vérité fondamentale : le patriotisme commence par l’accomplissement de ses devoirs citoyens.</w:t>
      </w:r>
    </w:p>
    <w:p w14:paraId="57D66520" w14:textId="62464509" w:rsidR="00181FEC" w:rsidRPr="00181FEC" w:rsidRDefault="00181FEC" w:rsidP="00181FEC">
      <w:pPr>
        <w:rPr>
          <w:rFonts w:ascii="Times New Roman" w:hAnsi="Times New Roman" w:cs="Times New Roman"/>
          <w:sz w:val="24"/>
          <w:szCs w:val="24"/>
        </w:rPr>
      </w:pPr>
      <w:r w:rsidRPr="00181FEC">
        <w:rPr>
          <w:rFonts w:ascii="Times New Roman" w:hAnsi="Times New Roman" w:cs="Times New Roman"/>
          <w:sz w:val="24"/>
          <w:szCs w:val="24"/>
        </w:rPr>
        <w:t>Chaque année, le paiement des TDRL constitue une obligation légale pour les citoyennes et citoyens. Mais au-delà de son caractère obligatoire, cette taxe représente surtout un levier essentiel de développement local, permettant aux communes de financer des services de base, d’améliorer les infrastructures et de répondre aux besoins quotidiens des populations.</w:t>
      </w:r>
    </w:p>
    <w:p w14:paraId="2A228272" w14:textId="3CD367ED" w:rsidR="00181FEC" w:rsidRPr="00181FEC" w:rsidRDefault="00181FEC" w:rsidP="00181FEC">
      <w:pPr>
        <w:rPr>
          <w:rFonts w:ascii="Times New Roman" w:hAnsi="Times New Roman" w:cs="Times New Roman"/>
          <w:sz w:val="28"/>
          <w:szCs w:val="28"/>
        </w:rPr>
      </w:pPr>
      <w:r w:rsidRPr="00181FEC">
        <w:rPr>
          <w:rFonts w:ascii="Cambria Math" w:hAnsi="Cambria Math" w:cs="Cambria Math"/>
          <w:sz w:val="28"/>
          <w:szCs w:val="28"/>
        </w:rPr>
        <w:t>𝐋𝐚</w:t>
      </w:r>
      <w:r w:rsidRPr="00181FEC">
        <w:rPr>
          <w:rFonts w:ascii="Times New Roman" w:hAnsi="Times New Roman" w:cs="Times New Roman"/>
          <w:sz w:val="28"/>
          <w:szCs w:val="28"/>
        </w:rPr>
        <w:t xml:space="preserve"> </w:t>
      </w:r>
      <w:r w:rsidRPr="00181FEC">
        <w:rPr>
          <w:rFonts w:ascii="Cambria Math" w:hAnsi="Cambria Math" w:cs="Cambria Math"/>
          <w:sz w:val="28"/>
          <w:szCs w:val="28"/>
        </w:rPr>
        <w:t>𝐜𝐨𝐧𝐭𝐫𝐢𝐛𝐮𝐭𝐢𝐨𝐧</w:t>
      </w:r>
      <w:r w:rsidRPr="00181FEC">
        <w:rPr>
          <w:rFonts w:ascii="Times New Roman" w:hAnsi="Times New Roman" w:cs="Times New Roman"/>
          <w:sz w:val="28"/>
          <w:szCs w:val="28"/>
        </w:rPr>
        <w:t xml:space="preserve"> </w:t>
      </w:r>
      <w:r w:rsidRPr="00181FEC">
        <w:rPr>
          <w:rFonts w:ascii="Cambria Math" w:hAnsi="Cambria Math" w:cs="Cambria Math"/>
          <w:sz w:val="28"/>
          <w:szCs w:val="28"/>
        </w:rPr>
        <w:t>𝐜𝐢𝐭𝐨𝐲𝐞𝐧𝐧𝐞</w:t>
      </w:r>
      <w:r w:rsidRPr="00181FEC">
        <w:rPr>
          <w:rFonts w:ascii="Times New Roman" w:hAnsi="Times New Roman" w:cs="Times New Roman"/>
          <w:sz w:val="28"/>
          <w:szCs w:val="28"/>
        </w:rPr>
        <w:t xml:space="preserve"> </w:t>
      </w:r>
      <w:r w:rsidRPr="00181FEC">
        <w:rPr>
          <w:rFonts w:ascii="Cambria Math" w:hAnsi="Cambria Math" w:cs="Cambria Math"/>
          <w:sz w:val="28"/>
          <w:szCs w:val="28"/>
        </w:rPr>
        <w:t>𝐚𝐮</w:t>
      </w:r>
      <w:r w:rsidRPr="00181FEC">
        <w:rPr>
          <w:rFonts w:ascii="Times New Roman" w:hAnsi="Times New Roman" w:cs="Times New Roman"/>
          <w:sz w:val="28"/>
          <w:szCs w:val="28"/>
        </w:rPr>
        <w:t xml:space="preserve"> </w:t>
      </w:r>
      <w:r w:rsidRPr="00181FEC">
        <w:rPr>
          <w:rFonts w:ascii="Cambria Math" w:hAnsi="Cambria Math" w:cs="Cambria Math"/>
          <w:sz w:val="28"/>
          <w:szCs w:val="28"/>
        </w:rPr>
        <w:t>𝐜</w:t>
      </w:r>
      <w:r w:rsidRPr="00181FEC">
        <w:rPr>
          <w:rFonts w:ascii="Times New Roman" w:hAnsi="Times New Roman" w:cs="Times New Roman"/>
          <w:sz w:val="28"/>
          <w:szCs w:val="28"/>
        </w:rPr>
        <w:t>œ</w:t>
      </w:r>
      <w:r w:rsidRPr="00181FEC">
        <w:rPr>
          <w:rFonts w:ascii="Cambria Math" w:hAnsi="Cambria Math" w:cs="Cambria Math"/>
          <w:sz w:val="28"/>
          <w:szCs w:val="28"/>
        </w:rPr>
        <w:t>𝐮𝐫</w:t>
      </w:r>
      <w:r w:rsidRPr="00181FEC">
        <w:rPr>
          <w:rFonts w:ascii="Times New Roman" w:hAnsi="Times New Roman" w:cs="Times New Roman"/>
          <w:sz w:val="28"/>
          <w:szCs w:val="28"/>
        </w:rPr>
        <w:t xml:space="preserve"> </w:t>
      </w:r>
      <w:r w:rsidRPr="00181FEC">
        <w:rPr>
          <w:rFonts w:ascii="Cambria Math" w:hAnsi="Cambria Math" w:cs="Cambria Math"/>
          <w:sz w:val="28"/>
          <w:szCs w:val="28"/>
        </w:rPr>
        <w:t>𝐝𝐮</w:t>
      </w:r>
      <w:r w:rsidRPr="00181FEC">
        <w:rPr>
          <w:rFonts w:ascii="Times New Roman" w:hAnsi="Times New Roman" w:cs="Times New Roman"/>
          <w:sz w:val="28"/>
          <w:szCs w:val="28"/>
        </w:rPr>
        <w:t xml:space="preserve"> </w:t>
      </w:r>
      <w:r w:rsidRPr="00181FEC">
        <w:rPr>
          <w:rFonts w:ascii="Cambria Math" w:hAnsi="Cambria Math" w:cs="Cambria Math"/>
          <w:sz w:val="28"/>
          <w:szCs w:val="28"/>
        </w:rPr>
        <w:t>𝐝𝐞</w:t>
      </w:r>
      <w:r w:rsidRPr="00181FEC">
        <w:rPr>
          <w:rFonts w:ascii="Times New Roman" w:hAnsi="Times New Roman" w:cs="Times New Roman"/>
          <w:sz w:val="28"/>
          <w:szCs w:val="28"/>
        </w:rPr>
        <w:t>́</w:t>
      </w:r>
      <w:r w:rsidRPr="00181FEC">
        <w:rPr>
          <w:rFonts w:ascii="Cambria Math" w:hAnsi="Cambria Math" w:cs="Cambria Math"/>
          <w:sz w:val="28"/>
          <w:szCs w:val="28"/>
        </w:rPr>
        <w:t>𝐯𝐞𝐥𝐨𝐩𝐩𝐞𝐦𝐞𝐧𝐭</w:t>
      </w:r>
      <w:r w:rsidRPr="00181FEC">
        <w:rPr>
          <w:rFonts w:ascii="Times New Roman" w:hAnsi="Times New Roman" w:cs="Times New Roman"/>
          <w:sz w:val="28"/>
          <w:szCs w:val="28"/>
        </w:rPr>
        <w:t xml:space="preserve"> </w:t>
      </w:r>
      <w:r w:rsidRPr="00181FEC">
        <w:rPr>
          <w:rFonts w:ascii="Cambria Math" w:hAnsi="Cambria Math" w:cs="Cambria Math"/>
          <w:sz w:val="28"/>
          <w:szCs w:val="28"/>
        </w:rPr>
        <w:t>𝐥𝐨𝐜𝐚𝐥</w:t>
      </w:r>
    </w:p>
    <w:p w14:paraId="7334D7C6" w14:textId="5641F67A" w:rsidR="00181FEC" w:rsidRDefault="00181FEC" w:rsidP="00181FEC">
      <w:pPr>
        <w:rPr>
          <w:rFonts w:ascii="Times New Roman" w:hAnsi="Times New Roman" w:cs="Times New Roman"/>
          <w:sz w:val="24"/>
          <w:szCs w:val="24"/>
        </w:rPr>
      </w:pPr>
      <w:r w:rsidRPr="00181FEC">
        <w:rPr>
          <w:rFonts w:ascii="Times New Roman" w:hAnsi="Times New Roman" w:cs="Times New Roman"/>
          <w:sz w:val="24"/>
          <w:szCs w:val="24"/>
        </w:rPr>
        <w:t>Le développement d’une commune ne peut reposer uniquement sur l’État central ou sur l’aide extérieure. Il repose d’abord et avant tout sur la contribution volontaire, responsable et consciente des citoyens eux-mêmes. Payer la TDRL, c’est participer directement à la construction de sa commune, à l’amélioration de son cadre de vie et au renforcement de l’action publique locale.</w:t>
      </w:r>
    </w:p>
    <w:p w14:paraId="3B9994EA" w14:textId="7C6656D3" w:rsidR="00A72016" w:rsidRPr="00181FEC" w:rsidRDefault="00A72016" w:rsidP="00181FE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1DDF06" wp14:editId="08F369F5">
            <wp:extent cx="5760720" cy="4039870"/>
            <wp:effectExtent l="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a:extLst>
                        <a:ext uri="{28A0092B-C50C-407E-A947-70E740481C1C}">
                          <a14:useLocalDpi xmlns:a14="http://schemas.microsoft.com/office/drawing/2010/main" val="0"/>
                        </a:ext>
                      </a:extLst>
                    </a:blip>
                    <a:stretch>
                      <a:fillRect/>
                    </a:stretch>
                  </pic:blipFill>
                  <pic:spPr>
                    <a:xfrm>
                      <a:off x="0" y="0"/>
                      <a:ext cx="5760720" cy="4039870"/>
                    </a:xfrm>
                    <a:prstGeom prst="rect">
                      <a:avLst/>
                    </a:prstGeom>
                  </pic:spPr>
                </pic:pic>
              </a:graphicData>
            </a:graphic>
          </wp:inline>
        </w:drawing>
      </w:r>
    </w:p>
    <w:p w14:paraId="2EAE5C65" w14:textId="555B6A98" w:rsidR="00181FEC" w:rsidRPr="00181FEC" w:rsidRDefault="00181FEC" w:rsidP="00181FEC">
      <w:pPr>
        <w:rPr>
          <w:rFonts w:ascii="Times New Roman" w:hAnsi="Times New Roman" w:cs="Times New Roman"/>
          <w:sz w:val="24"/>
          <w:szCs w:val="24"/>
        </w:rPr>
      </w:pPr>
      <w:r w:rsidRPr="00181FEC">
        <w:rPr>
          <w:rFonts w:ascii="Times New Roman" w:hAnsi="Times New Roman" w:cs="Times New Roman"/>
          <w:sz w:val="24"/>
          <w:szCs w:val="24"/>
        </w:rPr>
        <w:t>C’est dans cet esprit que, chaque année, les équipes de l’</w:t>
      </w:r>
      <w:r w:rsidRPr="00181FEC">
        <w:rPr>
          <w:rFonts w:ascii="Cambria Math" w:hAnsi="Cambria Math" w:cs="Cambria Math"/>
          <w:sz w:val="24"/>
          <w:szCs w:val="24"/>
        </w:rPr>
        <w:t>𝐀𝐉𝐂𝐀𝐃</w:t>
      </w:r>
      <w:r w:rsidRPr="00181FEC">
        <w:rPr>
          <w:rFonts w:ascii="Times New Roman" w:hAnsi="Times New Roman" w:cs="Times New Roman"/>
          <w:sz w:val="24"/>
          <w:szCs w:val="24"/>
        </w:rPr>
        <w:t xml:space="preserve"> se mobilisent sur le terrain. De Gao à Sikasso, en passant par Koutiala, Ségou, Mopti, San, Bla et Bamako, les jeunes vont à la rencontre des communautés pour sensibiliser, expliquer et encourager le paiement des TDRL. Cette mobilisation citoyenne démontre que la jeunesse n’est pas spectatrice du développement, mais actrice engagée de la transformation sociale.</w:t>
      </w:r>
    </w:p>
    <w:p w14:paraId="2129D3B5" w14:textId="2F153112" w:rsidR="00181FEC" w:rsidRPr="00181FEC" w:rsidRDefault="00181FEC" w:rsidP="00181FEC">
      <w:pPr>
        <w:rPr>
          <w:rFonts w:ascii="Times New Roman" w:hAnsi="Times New Roman" w:cs="Times New Roman"/>
          <w:sz w:val="28"/>
          <w:szCs w:val="28"/>
        </w:rPr>
      </w:pPr>
      <w:r w:rsidRPr="00181FEC">
        <w:rPr>
          <w:rFonts w:ascii="Cambria Math" w:hAnsi="Cambria Math" w:cs="Cambria Math"/>
          <w:sz w:val="28"/>
          <w:szCs w:val="28"/>
        </w:rPr>
        <w:lastRenderedPageBreak/>
        <w:t>𝐋𝐞</w:t>
      </w:r>
      <w:r w:rsidRPr="00181FEC">
        <w:rPr>
          <w:rFonts w:ascii="Times New Roman" w:hAnsi="Times New Roman" w:cs="Times New Roman"/>
          <w:sz w:val="28"/>
          <w:szCs w:val="28"/>
        </w:rPr>
        <w:t xml:space="preserve"> </w:t>
      </w:r>
      <w:r w:rsidRPr="00181FEC">
        <w:rPr>
          <w:rFonts w:ascii="Cambria Math" w:hAnsi="Cambria Math" w:cs="Cambria Math"/>
          <w:sz w:val="28"/>
          <w:szCs w:val="28"/>
        </w:rPr>
        <w:t>𝐩𝐚𝐭𝐫𝐢𝐨𝐭𝐢𝐬𝐦𝐞</w:t>
      </w:r>
      <w:r w:rsidRPr="00181FEC">
        <w:rPr>
          <w:rFonts w:ascii="Times New Roman" w:hAnsi="Times New Roman" w:cs="Times New Roman"/>
          <w:sz w:val="28"/>
          <w:szCs w:val="28"/>
        </w:rPr>
        <w:t xml:space="preserve"> </w:t>
      </w:r>
      <w:r w:rsidRPr="00181FEC">
        <w:rPr>
          <w:rFonts w:ascii="Cambria Math" w:hAnsi="Cambria Math" w:cs="Cambria Math"/>
          <w:sz w:val="28"/>
          <w:szCs w:val="28"/>
        </w:rPr>
        <w:t>𝐜𝐨𝐦𝐦𝐞</w:t>
      </w:r>
      <w:r w:rsidRPr="00181FEC">
        <w:rPr>
          <w:rFonts w:ascii="Times New Roman" w:hAnsi="Times New Roman" w:cs="Times New Roman"/>
          <w:sz w:val="28"/>
          <w:szCs w:val="28"/>
        </w:rPr>
        <w:t xml:space="preserve"> </w:t>
      </w:r>
      <w:r w:rsidRPr="00181FEC">
        <w:rPr>
          <w:rFonts w:ascii="Cambria Math" w:hAnsi="Cambria Math" w:cs="Cambria Math"/>
          <w:sz w:val="28"/>
          <w:szCs w:val="28"/>
        </w:rPr>
        <w:t>𝐞𝐧𝐠𝐚𝐠𝐞𝐦𝐞𝐧𝐭</w:t>
      </w:r>
      <w:r w:rsidRPr="00181FEC">
        <w:rPr>
          <w:rFonts w:ascii="Times New Roman" w:hAnsi="Times New Roman" w:cs="Times New Roman"/>
          <w:sz w:val="28"/>
          <w:szCs w:val="28"/>
        </w:rPr>
        <w:t xml:space="preserve">, </w:t>
      </w:r>
      <w:r w:rsidRPr="00181FEC">
        <w:rPr>
          <w:rFonts w:ascii="Cambria Math" w:hAnsi="Cambria Math" w:cs="Cambria Math"/>
          <w:sz w:val="28"/>
          <w:szCs w:val="28"/>
        </w:rPr>
        <w:t>𝐞𝐭</w:t>
      </w:r>
      <w:r w:rsidRPr="00181FEC">
        <w:rPr>
          <w:rFonts w:ascii="Times New Roman" w:hAnsi="Times New Roman" w:cs="Times New Roman"/>
          <w:sz w:val="28"/>
          <w:szCs w:val="28"/>
        </w:rPr>
        <w:t xml:space="preserve"> </w:t>
      </w:r>
      <w:r w:rsidRPr="00181FEC">
        <w:rPr>
          <w:rFonts w:ascii="Cambria Math" w:hAnsi="Cambria Math" w:cs="Cambria Math"/>
          <w:sz w:val="28"/>
          <w:szCs w:val="28"/>
        </w:rPr>
        <w:t>𝐧𝐨𝐧</w:t>
      </w:r>
      <w:r w:rsidRPr="00181FEC">
        <w:rPr>
          <w:rFonts w:ascii="Times New Roman" w:hAnsi="Times New Roman" w:cs="Times New Roman"/>
          <w:sz w:val="28"/>
          <w:szCs w:val="28"/>
        </w:rPr>
        <w:t xml:space="preserve"> </w:t>
      </w:r>
      <w:r w:rsidRPr="00181FEC">
        <w:rPr>
          <w:rFonts w:ascii="Cambria Math" w:hAnsi="Cambria Math" w:cs="Cambria Math"/>
          <w:sz w:val="28"/>
          <w:szCs w:val="28"/>
        </w:rPr>
        <w:t>𝐜𝐨𝐦𝐦𝐞</w:t>
      </w:r>
      <w:r w:rsidRPr="00181FEC">
        <w:rPr>
          <w:rFonts w:ascii="Times New Roman" w:hAnsi="Times New Roman" w:cs="Times New Roman"/>
          <w:sz w:val="28"/>
          <w:szCs w:val="28"/>
        </w:rPr>
        <w:t xml:space="preserve"> </w:t>
      </w:r>
      <w:r w:rsidRPr="00181FEC">
        <w:rPr>
          <w:rFonts w:ascii="Cambria Math" w:hAnsi="Cambria Math" w:cs="Cambria Math"/>
          <w:sz w:val="28"/>
          <w:szCs w:val="28"/>
        </w:rPr>
        <w:t>𝐬𝐥𝐨𝐠𝐚𝐧</w:t>
      </w:r>
    </w:p>
    <w:p w14:paraId="3E7941AF" w14:textId="5B084FF0" w:rsidR="00181FEC" w:rsidRPr="00181FEC" w:rsidRDefault="00181FEC" w:rsidP="00181FEC">
      <w:pPr>
        <w:rPr>
          <w:rFonts w:ascii="Times New Roman" w:hAnsi="Times New Roman" w:cs="Times New Roman"/>
          <w:sz w:val="24"/>
          <w:szCs w:val="24"/>
        </w:rPr>
      </w:pPr>
      <w:r w:rsidRPr="00181FEC">
        <w:rPr>
          <w:rFonts w:ascii="Times New Roman" w:hAnsi="Times New Roman" w:cs="Times New Roman"/>
          <w:sz w:val="24"/>
          <w:szCs w:val="24"/>
        </w:rPr>
        <w:t>Le patriotisme ne se mesure ni à l’intensité des slogans, ni à la proximité avec les autorités. Il se mesure à la capacité des citoyens à assumer leurs responsabilités, à respecter leurs obligations et à contribuer au bien commun.</w:t>
      </w:r>
    </w:p>
    <w:p w14:paraId="5800D0C8" w14:textId="68EF8034" w:rsidR="00181FEC" w:rsidRPr="00181FEC" w:rsidRDefault="00181FEC" w:rsidP="00181FEC">
      <w:pPr>
        <w:rPr>
          <w:rFonts w:ascii="Times New Roman" w:hAnsi="Times New Roman" w:cs="Times New Roman"/>
          <w:sz w:val="24"/>
          <w:szCs w:val="24"/>
        </w:rPr>
      </w:pPr>
      <w:r w:rsidRPr="00181FEC">
        <w:rPr>
          <w:rFonts w:ascii="Times New Roman" w:hAnsi="Times New Roman" w:cs="Times New Roman"/>
          <w:sz w:val="24"/>
          <w:szCs w:val="24"/>
        </w:rPr>
        <w:t>À ce titre, la citoyenneté active devient le véritable thermomètre du patriotisme. Être patriote, c’est être un citoyen exemplaire, soucieux du devenir de sa communauté, engagé dans la préservation et l’amélioration des services collectifs. Le paiement des TDRL incarne cette logique d’engagement concret, loin des discours creux et des postures opportunistes.</w:t>
      </w:r>
    </w:p>
    <w:p w14:paraId="36557C16" w14:textId="471638CF" w:rsidR="00181FEC" w:rsidRPr="00181FEC" w:rsidRDefault="00181FEC" w:rsidP="00181FEC">
      <w:pPr>
        <w:rPr>
          <w:rFonts w:ascii="Times New Roman" w:hAnsi="Times New Roman" w:cs="Times New Roman"/>
          <w:sz w:val="28"/>
          <w:szCs w:val="28"/>
        </w:rPr>
      </w:pPr>
      <w:r w:rsidRPr="00181FEC">
        <w:rPr>
          <w:rFonts w:ascii="Cambria Math" w:hAnsi="Cambria Math" w:cs="Cambria Math"/>
          <w:sz w:val="28"/>
          <w:szCs w:val="28"/>
        </w:rPr>
        <w:t>𝐋𝐚</w:t>
      </w:r>
      <w:r w:rsidRPr="00181FEC">
        <w:rPr>
          <w:rFonts w:ascii="Times New Roman" w:hAnsi="Times New Roman" w:cs="Times New Roman"/>
          <w:sz w:val="28"/>
          <w:szCs w:val="28"/>
        </w:rPr>
        <w:t xml:space="preserve"> </w:t>
      </w:r>
      <w:r w:rsidRPr="00181FEC">
        <w:rPr>
          <w:rFonts w:ascii="Cambria Math" w:hAnsi="Cambria Math" w:cs="Cambria Math"/>
          <w:sz w:val="28"/>
          <w:szCs w:val="28"/>
        </w:rPr>
        <w:t>𝐣𝐞𝐮𝐧𝐞𝐬𝐬𝐞</w:t>
      </w:r>
      <w:r w:rsidRPr="00181FEC">
        <w:rPr>
          <w:rFonts w:ascii="Times New Roman" w:hAnsi="Times New Roman" w:cs="Times New Roman"/>
          <w:sz w:val="28"/>
          <w:szCs w:val="28"/>
        </w:rPr>
        <w:t xml:space="preserve"> </w:t>
      </w:r>
      <w:r w:rsidRPr="00181FEC">
        <w:rPr>
          <w:rFonts w:ascii="Cambria Math" w:hAnsi="Cambria Math" w:cs="Cambria Math"/>
          <w:sz w:val="28"/>
          <w:szCs w:val="28"/>
        </w:rPr>
        <w:t>𝐜𝐨𝐦𝐦𝐞</w:t>
      </w:r>
      <w:r w:rsidRPr="00181FEC">
        <w:rPr>
          <w:rFonts w:ascii="Times New Roman" w:hAnsi="Times New Roman" w:cs="Times New Roman"/>
          <w:sz w:val="28"/>
          <w:szCs w:val="28"/>
        </w:rPr>
        <w:t xml:space="preserve"> </w:t>
      </w:r>
      <w:r w:rsidRPr="00181FEC">
        <w:rPr>
          <w:rFonts w:ascii="Cambria Math" w:hAnsi="Cambria Math" w:cs="Cambria Math"/>
          <w:sz w:val="28"/>
          <w:szCs w:val="28"/>
        </w:rPr>
        <w:t>𝐟𝐨𝐫𝐜𝐞</w:t>
      </w:r>
      <w:r w:rsidRPr="00181FEC">
        <w:rPr>
          <w:rFonts w:ascii="Times New Roman" w:hAnsi="Times New Roman" w:cs="Times New Roman"/>
          <w:sz w:val="28"/>
          <w:szCs w:val="28"/>
        </w:rPr>
        <w:t xml:space="preserve"> </w:t>
      </w:r>
      <w:r w:rsidRPr="00181FEC">
        <w:rPr>
          <w:rFonts w:ascii="Cambria Math" w:hAnsi="Cambria Math" w:cs="Cambria Math"/>
          <w:sz w:val="28"/>
          <w:szCs w:val="28"/>
        </w:rPr>
        <w:t>𝐝</w:t>
      </w:r>
      <w:r w:rsidRPr="00181FEC">
        <w:rPr>
          <w:rFonts w:ascii="Times New Roman" w:hAnsi="Times New Roman" w:cs="Times New Roman"/>
          <w:sz w:val="28"/>
          <w:szCs w:val="28"/>
        </w:rPr>
        <w:t>’</w:t>
      </w:r>
      <w:r w:rsidRPr="00181FEC">
        <w:rPr>
          <w:rFonts w:ascii="Cambria Math" w:hAnsi="Cambria Math" w:cs="Cambria Math"/>
          <w:sz w:val="28"/>
          <w:szCs w:val="28"/>
        </w:rPr>
        <w:t>𝐞𝐱𝐞𝐦𝐩𝐥𝐚𝐫𝐢𝐭𝐞</w:t>
      </w:r>
      <w:r w:rsidRPr="00181FEC">
        <w:rPr>
          <w:rFonts w:ascii="Times New Roman" w:hAnsi="Times New Roman" w:cs="Times New Roman"/>
          <w:sz w:val="28"/>
          <w:szCs w:val="28"/>
        </w:rPr>
        <w:t>́</w:t>
      </w:r>
    </w:p>
    <w:p w14:paraId="1E69531B" w14:textId="3A8E48F2" w:rsidR="00181FEC" w:rsidRPr="00181FEC" w:rsidRDefault="00181FEC" w:rsidP="00181FEC">
      <w:pPr>
        <w:rPr>
          <w:rFonts w:ascii="Times New Roman" w:hAnsi="Times New Roman" w:cs="Times New Roman"/>
          <w:sz w:val="24"/>
          <w:szCs w:val="24"/>
        </w:rPr>
      </w:pPr>
      <w:r w:rsidRPr="00181FEC">
        <w:rPr>
          <w:rFonts w:ascii="Times New Roman" w:hAnsi="Times New Roman" w:cs="Times New Roman"/>
          <w:sz w:val="24"/>
          <w:szCs w:val="24"/>
        </w:rPr>
        <w:t>L’engagement des jeunes de l’</w:t>
      </w:r>
      <w:r w:rsidRPr="00181FEC">
        <w:rPr>
          <w:rFonts w:ascii="Cambria Math" w:hAnsi="Cambria Math" w:cs="Cambria Math"/>
          <w:sz w:val="24"/>
          <w:szCs w:val="24"/>
        </w:rPr>
        <w:t>𝐀𝐉𝐂𝐀𝐃</w:t>
      </w:r>
      <w:r w:rsidRPr="00181FEC">
        <w:rPr>
          <w:rFonts w:ascii="Times New Roman" w:hAnsi="Times New Roman" w:cs="Times New Roman"/>
          <w:sz w:val="24"/>
          <w:szCs w:val="24"/>
        </w:rPr>
        <w:t xml:space="preserve"> illustre une autre manière de faire de la politique au sens noble du terme : par l’exemple. Leur action quotidienne ne vise pas à créer une différence artificielle, mais à montrer qu’un autre rapport à la citoyenneté est possible, fondé sur la responsabilité, la solidarité et l’action.</w:t>
      </w:r>
    </w:p>
    <w:p w14:paraId="49A5F9C4" w14:textId="77777777" w:rsidR="00181FEC" w:rsidRPr="00181FEC" w:rsidRDefault="00181FEC" w:rsidP="00181FEC">
      <w:pPr>
        <w:rPr>
          <w:rFonts w:ascii="Times New Roman" w:hAnsi="Times New Roman" w:cs="Times New Roman"/>
          <w:sz w:val="24"/>
          <w:szCs w:val="24"/>
        </w:rPr>
      </w:pPr>
      <w:r w:rsidRPr="00181FEC">
        <w:rPr>
          <w:rFonts w:ascii="Times New Roman" w:hAnsi="Times New Roman" w:cs="Times New Roman"/>
          <w:sz w:val="24"/>
          <w:szCs w:val="24"/>
        </w:rPr>
        <w:t>Cette mobilisation constante témoigne d’une jeunesse consciente de son rôle historique, convaincue que le changement durable passe par des actes simples mais structurants. En sensibilisant au paiement des TDRL, ces jeunes contribuent à renforcer la confiance entre citoyens et institutions locales, condition indispensable à toute gouvernance démocratique.</w:t>
      </w:r>
    </w:p>
    <w:p w14:paraId="7F6BAE90" w14:textId="77777777" w:rsidR="00181FEC" w:rsidRPr="00181FEC" w:rsidRDefault="00181FEC" w:rsidP="00181FEC">
      <w:pPr>
        <w:rPr>
          <w:rFonts w:ascii="Times New Roman" w:hAnsi="Times New Roman" w:cs="Times New Roman"/>
          <w:sz w:val="24"/>
          <w:szCs w:val="24"/>
        </w:rPr>
      </w:pPr>
    </w:p>
    <w:p w14:paraId="760037D1" w14:textId="7F914D64" w:rsidR="00181FEC" w:rsidRPr="00181FEC" w:rsidRDefault="00181FEC" w:rsidP="00181FEC">
      <w:pPr>
        <w:rPr>
          <w:rFonts w:ascii="Times New Roman" w:hAnsi="Times New Roman" w:cs="Times New Roman"/>
          <w:sz w:val="28"/>
          <w:szCs w:val="28"/>
        </w:rPr>
      </w:pPr>
      <w:r w:rsidRPr="00181FEC">
        <w:rPr>
          <w:rFonts w:ascii="Cambria Math" w:hAnsi="Cambria Math" w:cs="Cambria Math"/>
          <w:sz w:val="28"/>
          <w:szCs w:val="28"/>
        </w:rPr>
        <w:t>𝐂𝐨𝐧𝐬𝐭𝐫𝐮𝐢𝐫𝐞</w:t>
      </w:r>
      <w:r w:rsidRPr="00181FEC">
        <w:rPr>
          <w:rFonts w:ascii="Times New Roman" w:hAnsi="Times New Roman" w:cs="Times New Roman"/>
          <w:sz w:val="28"/>
          <w:szCs w:val="28"/>
        </w:rPr>
        <w:t xml:space="preserve"> </w:t>
      </w:r>
      <w:r w:rsidRPr="00181FEC">
        <w:rPr>
          <w:rFonts w:ascii="Cambria Math" w:hAnsi="Cambria Math" w:cs="Cambria Math"/>
          <w:sz w:val="28"/>
          <w:szCs w:val="28"/>
        </w:rPr>
        <w:t>𝐥</w:t>
      </w:r>
      <w:r w:rsidRPr="00181FEC">
        <w:rPr>
          <w:rFonts w:ascii="Times New Roman" w:hAnsi="Times New Roman" w:cs="Times New Roman"/>
          <w:sz w:val="28"/>
          <w:szCs w:val="28"/>
        </w:rPr>
        <w:t>’</w:t>
      </w:r>
      <w:r w:rsidRPr="00181FEC">
        <w:rPr>
          <w:rFonts w:ascii="Cambria Math" w:hAnsi="Cambria Math" w:cs="Cambria Math"/>
          <w:sz w:val="28"/>
          <w:szCs w:val="28"/>
        </w:rPr>
        <w:t>𝐚𝐯𝐞𝐧𝐢𝐫</w:t>
      </w:r>
      <w:r w:rsidRPr="00181FEC">
        <w:rPr>
          <w:rFonts w:ascii="Times New Roman" w:hAnsi="Times New Roman" w:cs="Times New Roman"/>
          <w:sz w:val="28"/>
          <w:szCs w:val="28"/>
        </w:rPr>
        <w:t xml:space="preserve"> </w:t>
      </w:r>
      <w:r w:rsidRPr="00181FEC">
        <w:rPr>
          <w:rFonts w:ascii="Cambria Math" w:hAnsi="Cambria Math" w:cs="Cambria Math"/>
          <w:sz w:val="28"/>
          <w:szCs w:val="28"/>
        </w:rPr>
        <w:t>𝐩𝐚𝐫</w:t>
      </w:r>
      <w:r w:rsidRPr="00181FEC">
        <w:rPr>
          <w:rFonts w:ascii="Times New Roman" w:hAnsi="Times New Roman" w:cs="Times New Roman"/>
          <w:sz w:val="28"/>
          <w:szCs w:val="28"/>
        </w:rPr>
        <w:t xml:space="preserve"> </w:t>
      </w:r>
      <w:r w:rsidRPr="00181FEC">
        <w:rPr>
          <w:rFonts w:ascii="Cambria Math" w:hAnsi="Cambria Math" w:cs="Cambria Math"/>
          <w:sz w:val="28"/>
          <w:szCs w:val="28"/>
        </w:rPr>
        <w:t>𝐥𝐞𝐬</w:t>
      </w:r>
      <w:r w:rsidRPr="00181FEC">
        <w:rPr>
          <w:rFonts w:ascii="Times New Roman" w:hAnsi="Times New Roman" w:cs="Times New Roman"/>
          <w:sz w:val="28"/>
          <w:szCs w:val="28"/>
        </w:rPr>
        <w:t xml:space="preserve"> </w:t>
      </w:r>
      <w:r w:rsidRPr="00181FEC">
        <w:rPr>
          <w:rFonts w:ascii="Cambria Math" w:hAnsi="Cambria Math" w:cs="Cambria Math"/>
          <w:sz w:val="28"/>
          <w:szCs w:val="28"/>
        </w:rPr>
        <w:t>𝐚𝐜𝐭𝐞𝐬</w:t>
      </w:r>
    </w:p>
    <w:p w14:paraId="65D02026" w14:textId="04530199" w:rsidR="00181FEC" w:rsidRPr="00181FEC" w:rsidRDefault="00181FEC" w:rsidP="00181FEC">
      <w:pPr>
        <w:rPr>
          <w:rFonts w:ascii="Times New Roman" w:hAnsi="Times New Roman" w:cs="Times New Roman"/>
          <w:sz w:val="24"/>
          <w:szCs w:val="24"/>
        </w:rPr>
      </w:pPr>
      <w:r w:rsidRPr="00181FEC">
        <w:rPr>
          <w:rFonts w:ascii="Times New Roman" w:hAnsi="Times New Roman" w:cs="Times New Roman"/>
          <w:sz w:val="24"/>
          <w:szCs w:val="24"/>
        </w:rPr>
        <w:t>Le paiement des TDRL est plus qu’une taxe : c’est un choix politique et citoyen, un engagement envers sa commune et envers les générations futures. Il rappelle que le développement ne se décrète pas, il se construit, pas à pas, par la participation active de toutes et tous.</w:t>
      </w:r>
    </w:p>
    <w:p w14:paraId="7C6E4DBC" w14:textId="77777777" w:rsidR="00181FEC" w:rsidRPr="00181FEC" w:rsidRDefault="00181FEC" w:rsidP="00181FEC">
      <w:pPr>
        <w:rPr>
          <w:rFonts w:ascii="Times New Roman" w:hAnsi="Times New Roman" w:cs="Times New Roman"/>
          <w:sz w:val="24"/>
          <w:szCs w:val="24"/>
        </w:rPr>
      </w:pPr>
      <w:r w:rsidRPr="00181FEC">
        <w:rPr>
          <w:rFonts w:ascii="Times New Roman" w:hAnsi="Times New Roman" w:cs="Times New Roman"/>
          <w:sz w:val="24"/>
          <w:szCs w:val="24"/>
        </w:rPr>
        <w:t>Être citoyen, c’est agir.</w:t>
      </w:r>
    </w:p>
    <w:p w14:paraId="5D948D71" w14:textId="2EA91B3C" w:rsidR="009201BB" w:rsidRPr="00181FEC" w:rsidRDefault="00181FEC" w:rsidP="00181FEC">
      <w:pPr>
        <w:rPr>
          <w:rFonts w:ascii="Times New Roman" w:hAnsi="Times New Roman" w:cs="Times New Roman"/>
          <w:sz w:val="24"/>
          <w:szCs w:val="24"/>
        </w:rPr>
      </w:pPr>
      <w:r w:rsidRPr="00181FEC">
        <w:rPr>
          <w:rFonts w:ascii="Times New Roman" w:hAnsi="Times New Roman" w:cs="Times New Roman"/>
          <w:sz w:val="24"/>
          <w:szCs w:val="24"/>
        </w:rPr>
        <w:t>Et c’est par cette citoyenneté active que se bâtissent des communautés fortes, responsables et solidaires.</w:t>
      </w:r>
    </w:p>
    <w:sectPr w:rsidR="009201BB" w:rsidRPr="00181FEC" w:rsidSect="006370CC">
      <w:footerReference w:type="default" r:id="rId8"/>
      <w:headerReference w:type="first" r:id="rId9"/>
      <w:footerReference w:type="first" r:id="rId10"/>
      <w:pgSz w:w="11906" w:h="16838"/>
      <w:pgMar w:top="1417" w:right="1417" w:bottom="1417" w:left="1417"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7E848" w14:textId="77777777" w:rsidR="00632A0D" w:rsidRDefault="00632A0D" w:rsidP="009201BB">
      <w:pPr>
        <w:spacing w:after="0" w:line="240" w:lineRule="auto"/>
      </w:pPr>
      <w:r>
        <w:separator/>
      </w:r>
    </w:p>
  </w:endnote>
  <w:endnote w:type="continuationSeparator" w:id="0">
    <w:p w14:paraId="3D6DC5A1" w14:textId="77777777" w:rsidR="00632A0D" w:rsidRDefault="00632A0D" w:rsidP="00920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D7600" w14:textId="6352F755" w:rsidR="009201BB" w:rsidRDefault="006F4BE7">
    <w:pPr>
      <w:pStyle w:val="Pieddepage"/>
    </w:pPr>
    <w:r>
      <w:rPr>
        <w:noProof/>
      </w:rPr>
      <w:drawing>
        <wp:anchor distT="0" distB="0" distL="114300" distR="114300" simplePos="0" relativeHeight="251666432" behindDoc="0" locked="0" layoutInCell="1" allowOverlap="1" wp14:anchorId="611C4E87" wp14:editId="3B43C198">
          <wp:simplePos x="0" y="0"/>
          <wp:positionH relativeFrom="page">
            <wp:align>left</wp:align>
          </wp:positionH>
          <wp:positionV relativeFrom="paragraph">
            <wp:posOffset>-2887066</wp:posOffset>
          </wp:positionV>
          <wp:extent cx="7565390" cy="3493135"/>
          <wp:effectExtent l="0" t="0" r="0" b="0"/>
          <wp:wrapNone/>
          <wp:docPr id="64283677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390" cy="3493135"/>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315C9" w14:textId="482D81C7" w:rsidR="009201BB" w:rsidRDefault="006F4BE7">
    <w:pPr>
      <w:pStyle w:val="Pieddepage"/>
    </w:pPr>
    <w:r>
      <w:rPr>
        <w:noProof/>
      </w:rPr>
      <w:drawing>
        <wp:anchor distT="0" distB="0" distL="114300" distR="114300" simplePos="0" relativeHeight="251665408" behindDoc="0" locked="0" layoutInCell="1" allowOverlap="1" wp14:anchorId="114A0189" wp14:editId="1336E033">
          <wp:simplePos x="0" y="0"/>
          <wp:positionH relativeFrom="page">
            <wp:align>left</wp:align>
          </wp:positionH>
          <wp:positionV relativeFrom="paragraph">
            <wp:posOffset>-2887066</wp:posOffset>
          </wp:positionV>
          <wp:extent cx="7565390" cy="3493135"/>
          <wp:effectExtent l="0" t="0" r="0" b="0"/>
          <wp:wrapNone/>
          <wp:docPr id="162234890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390" cy="3493135"/>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1E1FB" w14:textId="77777777" w:rsidR="00632A0D" w:rsidRDefault="00632A0D" w:rsidP="009201BB">
      <w:pPr>
        <w:spacing w:after="0" w:line="240" w:lineRule="auto"/>
      </w:pPr>
      <w:r>
        <w:separator/>
      </w:r>
    </w:p>
  </w:footnote>
  <w:footnote w:type="continuationSeparator" w:id="0">
    <w:p w14:paraId="473EE9BF" w14:textId="77777777" w:rsidR="00632A0D" w:rsidRDefault="00632A0D" w:rsidP="009201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0FBDF" w14:textId="2907E544" w:rsidR="009201BB" w:rsidRDefault="00200B73">
    <w:pPr>
      <w:pStyle w:val="En-tte"/>
    </w:pPr>
    <w:r>
      <w:rPr>
        <w:noProof/>
      </w:rPr>
      <w:drawing>
        <wp:anchor distT="0" distB="0" distL="114300" distR="114300" simplePos="0" relativeHeight="251667456" behindDoc="0" locked="0" layoutInCell="1" allowOverlap="1" wp14:anchorId="7ACA5F6F" wp14:editId="2EF328D0">
          <wp:simplePos x="0" y="0"/>
          <wp:positionH relativeFrom="page">
            <wp:align>right</wp:align>
          </wp:positionH>
          <wp:positionV relativeFrom="paragraph">
            <wp:posOffset>-97790</wp:posOffset>
          </wp:positionV>
          <wp:extent cx="5084445" cy="267970"/>
          <wp:effectExtent l="0" t="0" r="1905" b="0"/>
          <wp:wrapThrough wrapText="bothSides">
            <wp:wrapPolygon edited="0">
              <wp:start x="0" y="0"/>
              <wp:lineTo x="0" y="19962"/>
              <wp:lineTo x="21527" y="19962"/>
              <wp:lineTo x="21527" y="0"/>
              <wp:lineTo x="0" y="0"/>
            </wp:wrapPolygon>
          </wp:wrapThrough>
          <wp:docPr id="91225588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4445" cy="267970"/>
                  </a:xfrm>
                  <a:prstGeom prst="rect">
                    <a:avLst/>
                  </a:prstGeom>
                  <a:noFill/>
                </pic:spPr>
              </pic:pic>
            </a:graphicData>
          </a:graphic>
        </wp:anchor>
      </w:drawing>
    </w:r>
    <w:r w:rsidR="009201BB">
      <w:rPr>
        <w:noProof/>
      </w:rPr>
      <w:drawing>
        <wp:anchor distT="0" distB="0" distL="114300" distR="114300" simplePos="0" relativeHeight="251661312" behindDoc="0" locked="0" layoutInCell="1" allowOverlap="1" wp14:anchorId="3426BE15" wp14:editId="6258730B">
          <wp:simplePos x="0" y="0"/>
          <wp:positionH relativeFrom="margin">
            <wp:posOffset>-452755</wp:posOffset>
          </wp:positionH>
          <wp:positionV relativeFrom="paragraph">
            <wp:posOffset>-191770</wp:posOffset>
          </wp:positionV>
          <wp:extent cx="1892935" cy="572135"/>
          <wp:effectExtent l="0" t="0" r="0" b="0"/>
          <wp:wrapNone/>
          <wp:docPr id="94450748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07481"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892935" cy="5721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452F6D"/>
    <w:multiLevelType w:val="multilevel"/>
    <w:tmpl w:val="C3762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1337CB"/>
    <w:multiLevelType w:val="multilevel"/>
    <w:tmpl w:val="5186D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2362593">
    <w:abstractNumId w:val="0"/>
  </w:num>
  <w:num w:numId="2" w16cid:durableId="15498023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1BB"/>
    <w:rsid w:val="000437E6"/>
    <w:rsid w:val="00163EE7"/>
    <w:rsid w:val="00181FEC"/>
    <w:rsid w:val="001942FC"/>
    <w:rsid w:val="001A62E9"/>
    <w:rsid w:val="00200B73"/>
    <w:rsid w:val="00224CC7"/>
    <w:rsid w:val="00612256"/>
    <w:rsid w:val="00632A0D"/>
    <w:rsid w:val="006370CC"/>
    <w:rsid w:val="00670D78"/>
    <w:rsid w:val="006F4BE7"/>
    <w:rsid w:val="008759A9"/>
    <w:rsid w:val="008E74F8"/>
    <w:rsid w:val="009201BB"/>
    <w:rsid w:val="00A72016"/>
    <w:rsid w:val="00D675E0"/>
    <w:rsid w:val="00E024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65E99"/>
  <w15:chartTrackingRefBased/>
  <w15:docId w15:val="{54D771C2-3EEF-4DC7-9AA5-6949CFE04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link w:val="Titre2Car"/>
    <w:uiPriority w:val="9"/>
    <w:qFormat/>
    <w:rsid w:val="00E02471"/>
    <w:pPr>
      <w:spacing w:before="100" w:beforeAutospacing="1" w:after="100" w:afterAutospacing="1" w:line="240" w:lineRule="auto"/>
      <w:outlineLvl w:val="1"/>
    </w:pPr>
    <w:rPr>
      <w:rFonts w:ascii="Times New Roman" w:eastAsia="Times New Roman" w:hAnsi="Times New Roman" w:cs="Times New Roman"/>
      <w:b/>
      <w:bCs/>
      <w:kern w:val="0"/>
      <w:sz w:val="36"/>
      <w:szCs w:val="36"/>
      <w:lang w:val="fr-ML" w:eastAsia="fr-FR"/>
      <w14:ligatures w14:val="none"/>
    </w:rPr>
  </w:style>
  <w:style w:type="paragraph" w:styleId="Titre3">
    <w:name w:val="heading 3"/>
    <w:basedOn w:val="Normal"/>
    <w:link w:val="Titre3Car"/>
    <w:uiPriority w:val="9"/>
    <w:qFormat/>
    <w:rsid w:val="00E02471"/>
    <w:pPr>
      <w:spacing w:before="100" w:beforeAutospacing="1" w:after="100" w:afterAutospacing="1" w:line="240" w:lineRule="auto"/>
      <w:outlineLvl w:val="2"/>
    </w:pPr>
    <w:rPr>
      <w:rFonts w:ascii="Times New Roman" w:eastAsia="Times New Roman" w:hAnsi="Times New Roman" w:cs="Times New Roman"/>
      <w:b/>
      <w:bCs/>
      <w:kern w:val="0"/>
      <w:sz w:val="27"/>
      <w:szCs w:val="27"/>
      <w:lang w:val="fr-ML"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201BB"/>
    <w:pPr>
      <w:tabs>
        <w:tab w:val="center" w:pos="4536"/>
        <w:tab w:val="right" w:pos="9072"/>
      </w:tabs>
      <w:spacing w:after="0" w:line="240" w:lineRule="auto"/>
    </w:pPr>
  </w:style>
  <w:style w:type="character" w:customStyle="1" w:styleId="En-tteCar">
    <w:name w:val="En-tête Car"/>
    <w:basedOn w:val="Policepardfaut"/>
    <w:link w:val="En-tte"/>
    <w:uiPriority w:val="99"/>
    <w:rsid w:val="009201BB"/>
  </w:style>
  <w:style w:type="paragraph" w:styleId="Pieddepage">
    <w:name w:val="footer"/>
    <w:basedOn w:val="Normal"/>
    <w:link w:val="PieddepageCar"/>
    <w:uiPriority w:val="99"/>
    <w:unhideWhenUsed/>
    <w:rsid w:val="009201B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201BB"/>
  </w:style>
  <w:style w:type="character" w:customStyle="1" w:styleId="Titre2Car">
    <w:name w:val="Titre 2 Car"/>
    <w:basedOn w:val="Policepardfaut"/>
    <w:link w:val="Titre2"/>
    <w:uiPriority w:val="9"/>
    <w:rsid w:val="00E02471"/>
    <w:rPr>
      <w:rFonts w:ascii="Times New Roman" w:eastAsia="Times New Roman" w:hAnsi="Times New Roman" w:cs="Times New Roman"/>
      <w:b/>
      <w:bCs/>
      <w:kern w:val="0"/>
      <w:sz w:val="36"/>
      <w:szCs w:val="36"/>
      <w:lang w:val="fr-ML" w:eastAsia="fr-FR"/>
      <w14:ligatures w14:val="none"/>
    </w:rPr>
  </w:style>
  <w:style w:type="character" w:customStyle="1" w:styleId="Titre3Car">
    <w:name w:val="Titre 3 Car"/>
    <w:basedOn w:val="Policepardfaut"/>
    <w:link w:val="Titre3"/>
    <w:uiPriority w:val="9"/>
    <w:rsid w:val="00E02471"/>
    <w:rPr>
      <w:rFonts w:ascii="Times New Roman" w:eastAsia="Times New Roman" w:hAnsi="Times New Roman" w:cs="Times New Roman"/>
      <w:b/>
      <w:bCs/>
      <w:kern w:val="0"/>
      <w:sz w:val="27"/>
      <w:szCs w:val="27"/>
      <w:lang w:val="fr-ML" w:eastAsia="fr-FR"/>
      <w14:ligatures w14:val="none"/>
    </w:rPr>
  </w:style>
  <w:style w:type="paragraph" w:styleId="NormalWeb">
    <w:name w:val="Normal (Web)"/>
    <w:basedOn w:val="Normal"/>
    <w:uiPriority w:val="99"/>
    <w:semiHidden/>
    <w:unhideWhenUsed/>
    <w:rsid w:val="00E02471"/>
    <w:pPr>
      <w:spacing w:before="100" w:beforeAutospacing="1" w:after="100" w:afterAutospacing="1" w:line="240" w:lineRule="auto"/>
    </w:pPr>
    <w:rPr>
      <w:rFonts w:ascii="Times New Roman" w:eastAsia="Times New Roman" w:hAnsi="Times New Roman" w:cs="Times New Roman"/>
      <w:kern w:val="0"/>
      <w:sz w:val="24"/>
      <w:szCs w:val="24"/>
      <w:lang w:val="fr-ML" w:eastAsia="fr-FR"/>
      <w14:ligatures w14:val="none"/>
    </w:rPr>
  </w:style>
  <w:style w:type="character" w:styleId="lev">
    <w:name w:val="Strong"/>
    <w:basedOn w:val="Policepardfaut"/>
    <w:uiPriority w:val="22"/>
    <w:qFormat/>
    <w:rsid w:val="00E024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556</Words>
  <Characters>3061</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Aige</dc:creator>
  <cp:keywords/>
  <dc:description/>
  <cp:lastModifiedBy>GB8078</cp:lastModifiedBy>
  <cp:revision>4</cp:revision>
  <dcterms:created xsi:type="dcterms:W3CDTF">2026-01-23T12:00:00Z</dcterms:created>
  <dcterms:modified xsi:type="dcterms:W3CDTF">2026-02-12T10:57:00Z</dcterms:modified>
</cp:coreProperties>
</file>